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entered"/>
      </w:pPr>
      <w:r>
        <w:rPr>
          <w:b w:val="0"/>
        </w:rPr>
        <w:t>E</w:t>
      </w:r>
    </w:p>
    <w:p>
      <w:pPr>
        <w:pStyle w:val="Centered"/>
      </w:pPr>
      <w:r>
        <w:rPr>
          <w:b w:val="0"/>
        </w:rPr>
        <w:t>4 ALBERT EMBANKMENT</w:t>
        <w:br/>
        <w:t>LONDON SE1 7SR</w:t>
        <w:br/>
        <w:t>Điện thoại: +44 (0)20 7735 7611</w:t>
      </w:r>
    </w:p>
    <w:p>
      <w:pPr>
        <w:jc w:val="right"/>
      </w:pPr>
      <w:r>
        <w:rPr>
          <w:b w:val="0"/>
        </w:rPr>
        <w:t>Thông tri số 5222</w:t>
        <w:br/>
        <w:t>Ngày 11 tháng 6 năm 2026</w:t>
      </w:r>
    </w:p>
    <w:p>
      <w:r>
        <w:rPr>
          <w:b w:val="0"/>
        </w:rPr>
        <w:t>Kính gửi:     Tất cả các Thành viên IMO</w:t>
        <w:br/>
        <w:t xml:space="preserve">                  Các Chính phủ ký kết Công ước quốc tế về an toàn sinh mạng con người trên biển (SOLAS), 1974</w:t>
      </w:r>
    </w:p>
    <w:p>
      <w:r>
        <w:rPr>
          <w:b w:val="0"/>
        </w:rPr>
        <w:t>Chủ đề:       Sửa đổi Công ước quốc tế về an toàn sinh mạng con người trên biển (SOLAS), 1974</w:t>
      </w:r>
    </w:p>
    <w:p>
      <w:r>
        <w:rPr>
          <w:b w:val="0"/>
        </w:rPr>
        <w:t xml:space="preserve">                 Sửa đổi Bộ luật quốc tế về kết cấu và trang thiết bị của tàu chở xô khí hóa lỏng (Bộ luật IGC)</w:t>
      </w:r>
    </w:p>
    <w:p>
      <w:r>
        <w:rPr>
          <w:b w:val="0"/>
        </w:rPr>
        <w:t xml:space="preserve">                 Sửa đổi Bộ luật quốc tế về an toàn đối với tàu sử dụng khí hoặc nhiên liệu khác có điểm chớp cháy thấp (Bộ luật IGF)</w:t>
      </w:r>
    </w:p>
    <w:p>
      <w:r>
        <w:rPr>
          <w:b w:val="0"/>
        </w:rPr>
        <w:t xml:space="preserve">                 Sửa đổi Quy định kỹ thuật về phương tiện tiếp cận phục vụ kiểm tra (Nghị quyết MSC.133(76), đã được sửa đổi)</w:t>
      </w:r>
    </w:p>
    <w:p>
      <w:r>
        <w:rPr>
          <w:b w:val="0"/>
        </w:rPr>
        <w:t>1     Ủy ban An toàn hàng hải, tại khóa họp thứ 111 (từ ngày 13 đến ngày 22 tháng 5 năm 2026), đã phê duyệt dự thảo sửa đổi:</w:t>
      </w:r>
    </w:p>
    <w:p>
      <w:pPr>
        <w:pStyle w:val="Indented"/>
      </w:pPr>
      <w:r>
        <w:rPr>
          <w:b w:val="0"/>
        </w:rPr>
        <w:t>.1     Chương II-1 và Chương V của Công ước quốc tế về an toàn sinh mạng con người trên biển (SOLAS), 1974, như nêu tại Phụ lục 1;</w:t>
      </w:r>
    </w:p>
    <w:p>
      <w:pPr>
        <w:pStyle w:val="Indented"/>
      </w:pPr>
      <w:r>
        <w:rPr>
          <w:b w:val="0"/>
        </w:rPr>
        <w:t>.2     Bộ luật quốc tế về kết cấu và trang thiết bị của tàu chở xô khí hóa lỏng (Bộ luật IGC), như nêu tại Phụ lục 2;</w:t>
      </w:r>
    </w:p>
    <w:p>
      <w:pPr>
        <w:pStyle w:val="Indented"/>
      </w:pPr>
      <w:r>
        <w:rPr>
          <w:b w:val="0"/>
        </w:rPr>
        <w:t>.3     Bộ luật quốc tế về an toàn đối với tàu sử dụng khí hoặc nhiên liệu khác có điểm chớp cháy thấp (Bộ luật IGF), như nêu tại Phụ lục 3; và</w:t>
      </w:r>
    </w:p>
    <w:p>
      <w:pPr>
        <w:pStyle w:val="Indented"/>
      </w:pPr>
      <w:r>
        <w:rPr>
          <w:b w:val="0"/>
        </w:rPr>
        <w:t>.4     Quy định kỹ thuật về phương tiện tiếp cận phục vụ kiểm tra (Nghị quyết MSC.133(76), đã được sửa đổi), như nêu tại Phụ lục 4,</w:t>
      </w:r>
    </w:p>
    <w:p>
      <w:r>
        <w:rPr>
          <w:b w:val="0"/>
        </w:rPr>
        <w:t>để lưu hành nhằm xem xét thông qua tại khóa họp thứ 112 của Ủy ban, dự kiến tổ chức từ ngày 14 đến ngày 18 tháng 12 năm 2026.</w:t>
      </w:r>
    </w:p>
    <w:p>
      <w:r>
        <w:rPr>
          <w:b w:val="0"/>
        </w:rPr>
        <w:t>2     Tổng Thư ký trân trọng chuyển kèm theo đây, theo Điều VIII(b)(i) của Công ước SOLAS, nội dung các đề xuất sửa đổi nêu trên để Ủy ban xem xét nhằm thông qua tại khóa họp thứ 112, phù hợp với Điều VIII(b)(iv) của Công ước.</w:t>
      </w:r>
    </w:p>
    <w:p>
      <w:pPr>
        <w:pStyle w:val="Centered"/>
      </w:pPr>
      <w:r>
        <w:rPr>
          <w:b w:val="0"/>
        </w:rPr>
        <w:t>***</w:t>
      </w:r>
    </w:p>
    <w:p>
      <w:r>
        <w:br w:type="page"/>
      </w:r>
    </w:p>
    <w:p>
      <w:pPr>
        <w:pStyle w:val="Centered"/>
      </w:pPr>
      <w:r>
        <w:rPr>
          <w:b/>
        </w:rPr>
        <w:t>PHỤ LỤC 1</w:t>
      </w:r>
    </w:p>
    <w:p>
      <w:pPr>
        <w:pStyle w:val="Centered"/>
      </w:pPr>
      <w:r>
        <w:rPr>
          <w:b/>
        </w:rPr>
        <w:t>DỰ THẢO SỬA ĐỔI CÔNG ƯỚC QUỐC TẾ</w:t>
      </w:r>
    </w:p>
    <w:p>
      <w:pPr>
        <w:pStyle w:val="Centered"/>
      </w:pPr>
      <w:r>
        <w:rPr>
          <w:b/>
        </w:rPr>
        <w:t>VỀ AN TOÀN SINH MẠNG CON NGƯỜI TRÊN BIỂN, 1974</w:t>
      </w:r>
    </w:p>
    <w:p>
      <w:pPr>
        <w:pStyle w:val="Centered"/>
      </w:pPr>
      <w:r>
        <w:rPr>
          <w:b/>
        </w:rPr>
        <w:t>CHƯƠNG II-1</w:t>
      </w:r>
    </w:p>
    <w:p>
      <w:pPr>
        <w:pStyle w:val="Centered"/>
      </w:pPr>
      <w:r>
        <w:rPr>
          <w:b/>
        </w:rPr>
        <w:t>KẾT CẤU - CẤU TRÚC, PHÂN KHOANG VÀ ỔN ĐỊNH,</w:t>
      </w:r>
    </w:p>
    <w:p>
      <w:pPr>
        <w:pStyle w:val="Centered"/>
      </w:pPr>
      <w:r>
        <w:rPr>
          <w:b/>
        </w:rPr>
        <w:t>MÁY MÓC VÀ TRANG BỊ ĐIỆN</w:t>
      </w:r>
    </w:p>
    <w:p>
      <w:pPr>
        <w:pStyle w:val="Centered"/>
      </w:pPr>
      <w:r>
        <w:rPr>
          <w:b/>
        </w:rPr>
        <w:t>Phần A - Quy định chung</w:t>
      </w:r>
    </w:p>
    <w:p>
      <w:r>
        <w:rPr>
          <w:b/>
        </w:rPr>
        <w:t>Quy định 2 - Định nghĩa</w:t>
      </w:r>
    </w:p>
    <w:p>
      <w:r>
        <w:rPr>
          <w:b w:val="0"/>
        </w:rPr>
        <w:t>1     Thay thế các khoản 28 và 29 bằng nội dung sau:</w:t>
      </w:r>
    </w:p>
    <w:p>
      <w:pPr>
        <w:pStyle w:val="Indented"/>
      </w:pPr>
      <w:r>
        <w:rPr>
          <w:b w:val="0"/>
        </w:rPr>
        <w:t>“28     Bộ luật IGF là Bộ luật quốc tế về an toàn đối với tàu sử dụng khí hoặc nhiên liệu có điểm chớp cháy thấp, được Ủy ban An toàn hàng hải của Tổ chức thông qua bằng Nghị quyết MSC.391(95), có thể được Tổ chức sửa đổi, với điều kiện các sửa đổi đó được thông qua, có hiệu lực và được áp dụng theo các quy định tại Điều VIII của Công ước này về thủ tục sửa đổi áp dụng cho Phụ lục, ngoại trừ Chương I.</w:t>
      </w:r>
    </w:p>
    <w:p>
      <w:pPr>
        <w:pStyle w:val="Indented"/>
      </w:pPr>
      <w:r>
        <w:rPr>
          <w:b w:val="0"/>
        </w:rPr>
        <w:t>29     Nhiên liệu có điểm chớp cháy thấp là nhiên liệu lỏng có điểm chớp cháy thấp hơn mức được phép theo Quy định II-2/4.2.1.1.”</w:t>
      </w:r>
    </w:p>
    <w:p>
      <w:r>
        <w:rPr>
          <w:b w:val="0"/>
        </w:rPr>
        <w:t>2     Bổ sung khoản 34 sau khoản 33 hiện hành:</w:t>
      </w:r>
    </w:p>
    <w:p>
      <w:pPr>
        <w:pStyle w:val="Indented"/>
      </w:pPr>
      <w:r>
        <w:rPr>
          <w:b w:val="0"/>
        </w:rPr>
        <w:t>“34     Nhiên liệu khí là bất kỳ chất lưu nào được dùng làm nhiên liệu mà:</w:t>
      </w:r>
    </w:p>
    <w:p>
      <w:pPr>
        <w:pStyle w:val="Indented"/>
      </w:pPr>
      <w:r>
        <w:rPr>
          <w:b w:val="0"/>
        </w:rPr>
        <w:t>.1     có áp suất hơi vượt quá 0,28 MPa (áp suất tuyệt đối) ở nhiệt độ 37,8°C; hoặc</w:t>
      </w:r>
    </w:p>
    <w:p>
      <w:pPr>
        <w:pStyle w:val="Indented"/>
      </w:pPr>
      <w:r>
        <w:rPr>
          <w:b w:val="0"/>
        </w:rPr>
        <w:t>.2     hoàn toàn ở thể khí tại 20°C và áp suất tiêu chuẩn 101,3 kPa.”</w:t>
      </w:r>
    </w:p>
    <w:p>
      <w:pPr>
        <w:pStyle w:val="Centered"/>
      </w:pPr>
      <w:r>
        <w:rPr>
          <w:b/>
        </w:rPr>
        <w:t>Phần F - Thiết kế và bố trí thay thế</w:t>
      </w:r>
    </w:p>
    <w:p>
      <w:r>
        <w:rPr>
          <w:b/>
        </w:rPr>
        <w:t>Quy định 55 - Thiết kế và bố trí thay thế</w:t>
      </w:r>
    </w:p>
    <w:p>
      <w:r>
        <w:rPr>
          <w:b w:val="0"/>
        </w:rPr>
        <w:t>3     Thay thế khoản 1 bằng nội dung sau:</w:t>
      </w:r>
    </w:p>
    <w:p>
      <w:pPr>
        <w:pStyle w:val="Indented"/>
      </w:pPr>
      <w:r>
        <w:rPr>
          <w:b w:val="0"/>
        </w:rPr>
        <w:t>“1     Mục đích</w:t>
        <w:br/>
        <w:t>Mục đích của quy định này là đưa ra phương pháp áp dụng cho thiết kế và bố trí thay thế đối với máy móc, trang bị điện và các hệ thống chứa, phân phối nhiên liệu khí hoặc nhiên liệu có điểm chớp cháy thấp.”</w:t>
      </w:r>
    </w:p>
    <w:p>
      <w:r>
        <w:rPr>
          <w:b w:val="0"/>
        </w:rPr>
        <w:t>4     Thay thế khoản 2.1 bằng nội dung sau:</w:t>
      </w:r>
    </w:p>
    <w:p>
      <w:pPr>
        <w:pStyle w:val="Indented"/>
      </w:pPr>
      <w:r>
        <w:rPr>
          <w:b w:val="0"/>
        </w:rPr>
        <w:t>“2     Quy định chung</w:t>
        <w:br/>
        <w:t>2.1     Thiết kế và bố trí máy móc, trang bị điện, hệ thống chứa và phân phối nhiên liệu khí hoặc nhiên liệu có điểm chớp cháy thấp có thể khác với các yêu cầu tại các Phần C, D, E hoặc G, với điều kiện thiết kế và bố trí thay thế đáp ứng mục đích của các yêu cầu liên quan và bảo đảm mức độ an toàn tương đương với chương này.”</w:t>
      </w:r>
    </w:p>
    <w:p>
      <w:r>
        <w:rPr>
          <w:b w:val="0"/>
        </w:rPr>
        <w:t>5     Thay thế các khoản 3.1, 3.2 và 3.4 bằng nội dung sau:</w:t>
      </w:r>
    </w:p>
    <w:p>
      <w:pPr>
        <w:pStyle w:val="Indented"/>
      </w:pPr>
      <w:r>
        <w:rPr>
          <w:b w:val="0"/>
        </w:rPr>
        <w:t>“3     Phân tích kỹ thuật</w:t>
        <w:br/>
        <w:t>Bản phân tích kỹ thuật phải được lập và trình Chính quyền hàng hải, trên cơ sở hướng dẫn do Tổ chức xây dựng*, và tối thiểu phải bao gồm các nội dung sau:</w:t>
      </w:r>
    </w:p>
    <w:p>
      <w:pPr>
        <w:pStyle w:val="Indented"/>
      </w:pPr>
      <w:r>
        <w:rPr>
          <w:b w:val="0"/>
        </w:rPr>
        <w:t>.1     xác định loại tàu, máy móc, trang bị điện, hệ thống chứa và phân phối nhiên liệu khí hoặc nhiên liệu có điểm chớp cháy thấp, và không gian liên quan;</w:t>
      </w:r>
    </w:p>
    <w:p>
      <w:pPr>
        <w:pStyle w:val="Indented"/>
      </w:pPr>
      <w:r>
        <w:rPr>
          <w:b w:val="0"/>
        </w:rPr>
        <w:t>.2     xác định các yêu cầu mang tính quy định cụ thể mà máy móc, trang bị điện hoặc hệ thống chứa và phân phối nhiên liệu khí hoặc nhiên liệu có điểm chớp cháy thấp không đáp ứng;</w:t>
      </w:r>
    </w:p>
    <w:p>
      <w:pPr>
        <w:pStyle w:val="Indented"/>
      </w:pPr>
      <w:r>
        <w:rPr>
          <w:b w:val="0"/>
        </w:rPr>
        <w:t>.4     xác định tiêu chí tính năng đối với tàu, máy móc, trang bị điện, hệ thống chứa và phân phối nhiên liệu khí hoặc nhiên liệu có điểm chớp cháy thấp, hoặc không gian liên quan được các yêu cầu mang tính quy định cụ thể tương ứng điều chỉnh:</w:t>
      </w:r>
    </w:p>
    <w:p>
      <w:pPr>
        <w:pStyle w:val="Indented"/>
      </w:pPr>
      <w:r>
        <w:rPr>
          <w:b w:val="0"/>
        </w:rPr>
        <w:t xml:space="preserve">    .1     tiêu chí tính năng phải bảo đảm mức độ an toàn không thấp hơn các yêu cầu mang tính quy định cụ thể tương ứng tại các Phần C, D, E hoặc G; và</w:t>
      </w:r>
    </w:p>
    <w:p>
      <w:pPr>
        <w:pStyle w:val="Indented"/>
      </w:pPr>
      <w:r>
        <w:rPr>
          <w:b w:val="0"/>
        </w:rPr>
        <w:t xml:space="preserve">    .2     tiêu chí tính năng phải có thể định lượng và đo lường được;</w:t>
      </w:r>
    </w:p>
    <w:p>
      <w:r>
        <w:rPr>
          <w:b w:val="0"/>
        </w:rPr>
        <w:t>* Tham khảo Hướng dẫn về thiết kế và bố trí thay thế đối với các Chương II-1 và III của SOLAS (MSC.1/Circ.1212) và Hướng dẫn phê duyệt phương án thay thế và tương đương theo các văn kiện khác nhau của IMO (MSC.1/Circ.1455).</w:t>
      </w:r>
    </w:p>
    <w:p>
      <w:pPr>
        <w:pStyle w:val="Centered"/>
      </w:pPr>
      <w:r>
        <w:rPr>
          <w:b/>
        </w:rPr>
        <w:t>Phần G - Tàu sử dụng nhiên liệu có điểm chớp cháy thấp</w:t>
      </w:r>
    </w:p>
    <w:p>
      <w:r>
        <w:rPr>
          <w:b w:val="0"/>
        </w:rPr>
        <w:t>6     Thay thế tên hiện hành của Phần G bằng: “Phần G - Tàu sử dụng nhiên liệu khí hoặc nhiên liệu có điểm chớp cháy thấp”.</w:t>
      </w:r>
    </w:p>
    <w:p>
      <w:r>
        <w:rPr>
          <w:b/>
        </w:rPr>
        <w:t>Quy định 56 - Áp dụng</w:t>
      </w:r>
    </w:p>
    <w:p>
      <w:r>
        <w:rPr>
          <w:b w:val="0"/>
        </w:rPr>
        <w:t>7     Thay thế các khoản 1 đến 4 bằng nội dung sau:</w:t>
      </w:r>
    </w:p>
    <w:p>
      <w:pPr>
        <w:pStyle w:val="Indented"/>
      </w:pPr>
      <w:r>
        <w:rPr>
          <w:b w:val="0"/>
        </w:rPr>
        <w:t>“1     Trừ các trường hợp quy định tại khoản 4 và khoản 5, Phần này áp dụng cho tàu sử dụng nhiên liệu khí hoặc nhiên liệu có điểm chớp cháy thấp:</w:t>
      </w:r>
    </w:p>
    <w:p>
      <w:pPr>
        <w:pStyle w:val="Indented"/>
      </w:pPr>
      <w:r>
        <w:rPr>
          <w:b w:val="0"/>
        </w:rPr>
        <w:t>.1     có hợp đồng đóng tàu được ký vào hoặc sau ngày 01 tháng 01 năm 2017;</w:t>
      </w:r>
    </w:p>
    <w:p>
      <w:pPr>
        <w:pStyle w:val="Indented"/>
      </w:pPr>
      <w:r>
        <w:rPr>
          <w:b w:val="0"/>
        </w:rPr>
        <w:t>.2     trường hợp không có hợp đồng đóng tàu, có sống chính được đặt hoặc đạt giai đoạn đóng mới tương tự vào hoặc sau ngày 01 tháng 7 năm 2017; hoặc</w:t>
      </w:r>
    </w:p>
    <w:p>
      <w:pPr>
        <w:pStyle w:val="Indented"/>
      </w:pPr>
      <w:r>
        <w:rPr>
          <w:b w:val="0"/>
        </w:rPr>
        <w:t>.3     được bàn giao vào hoặc sau ngày 01 tháng 01 năm 2021.</w:t>
      </w:r>
    </w:p>
    <w:p>
      <w:pPr>
        <w:pStyle w:val="Indented"/>
      </w:pPr>
      <w:r>
        <w:rPr>
          <w:b w:val="0"/>
        </w:rPr>
        <w:t>Các tàu này phải tuân thủ các yêu cầu của Phần này bên cạnh mọi yêu cầu áp dụng khác của các quy định hiện hành.</w:t>
      </w:r>
    </w:p>
    <w:p>
      <w:pPr>
        <w:pStyle w:val="Indented"/>
      </w:pPr>
      <w:r>
        <w:rPr>
          <w:b w:val="0"/>
        </w:rPr>
        <w:t>2     Trừ các trường hợp quy định tại khoản 4 và khoản 5, tàu chuyển đổi sang sử dụng nhiên liệu khí hoặc nhiên liệu có điểm chớp cháy thấp vào hoặc sau ngày 01 tháng 01 năm 2017, bất kể ngày đóng, kể cả tàu đóng trước ngày 01 tháng 01 năm 2009, được coi là tàu sử dụng loại nhiên liệu đó kể từ ngày bắt đầu việc chuyển đổi.</w:t>
      </w:r>
    </w:p>
    <w:p>
      <w:pPr>
        <w:pStyle w:val="Indented"/>
      </w:pPr>
      <w:r>
        <w:rPr>
          <w:b w:val="0"/>
        </w:rPr>
        <w:t>3     Trừ các trường hợp quy định tại khoản 4 và khoản 5, tàu sử dụng nhiên liệu khí hoặc nhiên liệu có điểm chớp cháy thấp, bất kể ngày đóng, kể cả tàu đóng trước ngày 01 tháng 01 năm 2009, nếu vào hoặc sau ngày 01 tháng 01 năm 2017 quyết định sử dụng loại nhiên liệu khí hoặc nhiên liệu có điểm chớp cháy thấp khác với loại đã được phê duyệt ban đầu trước ngày 01 tháng 01 năm 2017, được coi là tàu sử dụng loại nhiên liệu đó kể từ ngày bắt đầu thực hiện quyết định này.</w:t>
      </w:r>
    </w:p>
    <w:p>
      <w:pPr>
        <w:pStyle w:val="Indented"/>
      </w:pPr>
      <w:r>
        <w:rPr>
          <w:b w:val="0"/>
        </w:rPr>
        <w:t>4     Phần này không áp dụng cho tàu chở khí theo định nghĩa tại Quy định VII/11.2.”</w:t>
      </w:r>
    </w:p>
    <w:p>
      <w:r>
        <w:rPr>
          <w:b/>
        </w:rPr>
        <w:t>Quy định 57 - Yêu cầu đối với tàu sử dụng nhiên liệu có điểm chớp cháy thấp</w:t>
      </w:r>
    </w:p>
    <w:p>
      <w:r>
        <w:rPr>
          <w:b w:val="0"/>
        </w:rPr>
        <w:t>8     Thay thế Quy định 57 bằng nội dung sau:</w:t>
      </w:r>
    </w:p>
    <w:p>
      <w:pPr>
        <w:pStyle w:val="Indented"/>
      </w:pPr>
      <w:r>
        <w:rPr>
          <w:b w:val="0"/>
        </w:rPr>
        <w:t>“Quy định 57 - Yêu cầu đối với tàu sử dụng nhiên liệu khí hoặc nhiên liệu có điểm chớp cháy thấp</w:t>
        <w:br/>
        <w:t>Trừ các trường hợp quy định tại Quy định 56.4 và 56.5, tàu sử dụng nhiên liệu khí hoặc nhiên liệu có điểm chớp cháy thấp phải tuân thủ các yêu cầu của Bộ luật IGF.”</w:t>
      </w:r>
    </w:p>
    <w:p>
      <w:pPr>
        <w:pStyle w:val="Centered"/>
      </w:pPr>
      <w:r>
        <w:rPr>
          <w:b/>
        </w:rPr>
        <w:t>CHƯƠNG V</w:t>
      </w:r>
    </w:p>
    <w:p>
      <w:pPr>
        <w:pStyle w:val="Centered"/>
      </w:pPr>
      <w:r>
        <w:rPr>
          <w:b/>
        </w:rPr>
        <w:t>AN TOÀN HÀNG HẢI</w:t>
      </w:r>
    </w:p>
    <w:p>
      <w:r>
        <w:rPr>
          <w:b/>
        </w:rPr>
        <w:t>Quy định 19-1 - Nhận dạng và theo dõi tàu tầm xa</w:t>
      </w:r>
    </w:p>
    <w:p>
      <w:r>
        <w:rPr>
          <w:b w:val="0"/>
        </w:rPr>
        <w:t>9     Bổ sung khoản 12.1 sau khoản 12 hiện hành, cùng chú thích chân trang tương ứng:</w:t>
      </w:r>
    </w:p>
    <w:p>
      <w:pPr>
        <w:pStyle w:val="Indented"/>
      </w:pPr>
      <w:r>
        <w:rPr>
          <w:b w:val="0"/>
        </w:rPr>
        <w:t>“12.1     Bất kể quy định tại khoản 11.1, Chính phủ ký kết thực hiện các quyền của quốc gia ven biển được xác lập tại khoản 8.1.3 có quyền nhận miễn phí thông tin nhận dạng và theo dõi tàu tầm xa được truyền tự động theo các khoảng thời gian xác định, có xét đến mô hình chi phí quy định trong tiêu chuẩn tính năng và yêu cầu chức năng do Tổ chức thông qua.*</w:t>
      </w:r>
    </w:p>
    <w:p>
      <w:r>
        <w:rPr>
          <w:b w:val="0"/>
        </w:rPr>
        <w:t>* Tham khảo Tiêu chuẩn tính năng và yêu cầu chức năng đối với việc nhận dạng và theo dõi tàu tầm xa (Nghị quyết MSC.263(84), đã được sửa đổi).</w:t>
      </w:r>
    </w:p>
    <w:p>
      <w:r>
        <w:br w:type="page"/>
      </w:r>
    </w:p>
    <w:p>
      <w:pPr>
        <w:pStyle w:val="Centered"/>
      </w:pPr>
      <w:r>
        <w:rPr>
          <w:b/>
        </w:rPr>
        <w:t>PHỤ LỤC 3</w:t>
      </w:r>
    </w:p>
    <w:p>
      <w:pPr>
        <w:pStyle w:val="Centered"/>
      </w:pPr>
      <w:r>
        <w:rPr>
          <w:b/>
        </w:rPr>
        <w:t>DỰ THẢO SỬA ĐỔI BỘ LUẬT QUỐC TẾ VỀ AN TOÀN ĐỐI VỚI TÀU</w:t>
      </w:r>
    </w:p>
    <w:p>
      <w:pPr>
        <w:pStyle w:val="Centered"/>
      </w:pPr>
      <w:r>
        <w:rPr>
          <w:b/>
        </w:rPr>
        <w:t>SỬ DỤNG KHÍ HOẶC NHIÊN LIỆU KHÁC CÓ ĐIỂM CHỚP CHÁY THẤP</w:t>
      </w:r>
    </w:p>
    <w:p>
      <w:pPr>
        <w:pStyle w:val="Centered"/>
      </w:pPr>
      <w:r>
        <w:rPr>
          <w:b/>
        </w:rPr>
        <w:t>(BỘ LUẬT IGF)</w:t>
      </w:r>
    </w:p>
    <w:p>
      <w:r>
        <w:rPr>
          <w:b w:val="0"/>
        </w:rPr>
        <w:t>1     Thay thế tên Bộ luật IGF bằng: “BỘ LUẬT QUỐC TẾ VỀ AN TOÀN ĐỐI VỚI TÀU SỬ DỤNG KHÍ HOẶC NHIÊN LIỆU CÓ ĐIỂM CHỚP CHÁY THẤP (BỘ LUẬT IGF)”.</w:t>
      </w:r>
    </w:p>
    <w:p>
      <w:r>
        <w:rPr>
          <w:b w:val="0"/>
        </w:rPr>
        <w:t>2     Thay thế lời nói đầu bằng nội dung sau:</w:t>
      </w:r>
    </w:p>
    <w:p>
      <w:pPr>
        <w:pStyle w:val="Indented"/>
      </w:pPr>
      <w:r>
        <w:rPr>
          <w:b w:val="0"/>
        </w:rPr>
        <w:t>“1     LỜI NÓI ĐẦU</w:t>
      </w:r>
    </w:p>
    <w:p>
      <w:pPr>
        <w:pStyle w:val="Indented"/>
      </w:pPr>
      <w:r>
        <w:rPr>
          <w:b w:val="0"/>
        </w:rPr>
        <w:t>Mục đích của Bộ luật này là thiết lập tiêu chuẩn quốc tế đối với tàu, trừ tàu chở khí, sử dụng khí hoặc nhiên liệu có điểm chớp cháy thấp.</w:t>
      </w:r>
    </w:p>
    <w:p>
      <w:pPr>
        <w:pStyle w:val="Indented"/>
      </w:pPr>
      <w:r>
        <w:rPr>
          <w:b w:val="0"/>
        </w:rPr>
        <w:t>Triết lý cơ bản của Bộ luật là quy định bắt buộc về bố trí, lắp đặt, điều khiển và giám sát máy móc, thiết bị và hệ thống sử dụng khí hoặc nhiên liệu có điểm chớp cháy thấp, nhằm giảm thiểu rủi ro đối với tàu, thuyền viên và môi trường, có xét đến đặc tính của các loại nhiên liệu liên quan.</w:t>
      </w:r>
    </w:p>
    <w:p>
      <w:pPr>
        <w:pStyle w:val="Indented"/>
      </w:pPr>
      <w:r>
        <w:rPr>
          <w:b w:val="0"/>
        </w:rPr>
        <w:t>Trong quá trình xây dựng Bộ luật, các bên nhận thức rằng Bộ luật phải dựa trên nguyên tắc vững chắc về kiến trúc tàu thủy và kỹ thuật, cùng hiểu biết tốt nhất hiện có từ kinh nghiệm khai thác, dữ liệu thực tế, nghiên cứu và phát triển. Do công nghệ nhiên liệu mới phát triển nhanh, Tổ chức sẽ định kỳ rà soát Bộ luật trên cơ sở kinh nghiệm và tiến bộ kỹ thuật.</w:t>
      </w:r>
    </w:p>
    <w:p>
      <w:pPr>
        <w:pStyle w:val="Indented"/>
      </w:pPr>
      <w:r>
        <w:rPr>
          <w:b w:val="0"/>
        </w:rPr>
        <w:t>Bộ luật điều chỉnh tất cả lĩnh vực cần được xem xét đặc biệt khi sử dụng khí hoặc nhiên liệu có điểm chớp cháy thấp. Triết lý cơ bản của Bộ luật IGF áp dụng cách tiếp cận dựa trên mục tiêu (MSC.1/Circ.1394). Vì vậy, mục tiêu và yêu cầu chức năng được xác định cho từng mục, làm cơ sở cho thiết kế, đóng và khai thác tàu.</w:t>
      </w:r>
    </w:p>
    <w:p>
      <w:pPr>
        <w:pStyle w:val="Indented"/>
      </w:pPr>
      <w:r>
        <w:rPr>
          <w:b w:val="0"/>
        </w:rPr>
        <w:t>Phiên bản hiện hành của Bộ luật bao gồm các quy định đáp ứng yêu cầu chức năng đối với nhiên liệu khí thiên nhiên. Quy định đối với các loại khí hoặc nhiên liệu có điểm chớp cháy thấp khác sẽ được bổ sung khi Tổ chức xây dựng xong.</w:t>
      </w:r>
    </w:p>
    <w:p>
      <w:pPr>
        <w:pStyle w:val="Indented"/>
      </w:pPr>
      <w:r>
        <w:rPr>
          <w:b w:val="0"/>
        </w:rPr>
        <w:t>Trong thời gian đó, đối với các loại khí hoặc nhiên liệu có điểm chớp cháy thấp khác, việc tuân thủ yêu cầu chức năng của Bộ luật phải được chứng minh thông qua thiết kế thay thế.</w:t>
      </w:r>
    </w:p>
    <w:p>
      <w:pPr>
        <w:pStyle w:val="Indented"/>
      </w:pPr>
      <w:r>
        <w:rPr>
          <w:b w:val="0"/>
        </w:rPr>
        <w:t>Các thuật ngữ “gas fuel” và “gaseous fuel” trong Bộ luật IGF được hiểu cùng nghĩa với “gas” theo định nghĩa tại khoản 2.2.18.”</w:t>
      </w:r>
    </w:p>
    <w:p>
      <w:pPr>
        <w:pStyle w:val="Centered"/>
      </w:pPr>
      <w:r>
        <w:rPr>
          <w:b/>
        </w:rPr>
        <w:t>PHẦN A</w:t>
      </w:r>
    </w:p>
    <w:p>
      <w:r>
        <w:rPr>
          <w:b/>
        </w:rPr>
        <w:t>2     QUY ĐỊNH CHUNG / 2.2     Định nghĩa</w:t>
      </w:r>
    </w:p>
    <w:p>
      <w:r>
        <w:rPr>
          <w:b w:val="0"/>
        </w:rPr>
        <w:t>3     Thay thế khoản 2.2.18 bằng nội dung sau: “2.2.18     Khí là bất kỳ chất lưu nào được dùng làm nhiên liệu mà: .1 có áp suất hơi vượt quá 0,28 MPa (áp suất tuyệt đối) ở nhiệt độ 37,8°C; hoặc .2 hoàn toàn ở thể khí tại 20°C và áp suất tiêu chuẩn 101,3 kPa.”</w:t>
      </w:r>
    </w:p>
    <w:p>
      <w:r>
        <w:rPr>
          <w:b w:val="0"/>
        </w:rPr>
        <w:t>4     Thay thế khoản 2.2.28 bằng nội dung sau: “2.2.28     Nhiên liệu có điểm chớp cháy thấp là nhiên liệu lỏng có điểm chớp cháy thấp hơn mức được phép theo khoản 2.1.1 của Quy định II-2/4 của SOLAS.”</w:t>
      </w:r>
    </w:p>
    <w:p>
      <w:r>
        <w:rPr>
          <w:b/>
        </w:rPr>
        <w:t>2.3     Thiết kế thay thế</w:t>
      </w:r>
    </w:p>
    <w:p>
      <w:r>
        <w:rPr>
          <w:b w:val="0"/>
        </w:rPr>
        <w:t>5     Thay thế khoản 2.3.1 và phần dẫn của khoản 2.3.2 bằng nội dung sau:</w:t>
      </w:r>
    </w:p>
    <w:p>
      <w:pPr>
        <w:pStyle w:val="Indented"/>
      </w:pPr>
      <w:r>
        <w:rPr>
          <w:b w:val="0"/>
        </w:rPr>
        <w:t>“2.3.1     Bộ luật này quy định các yêu cầu chức năng đối với mọi thiết bị và bố trí liên quan đến việc sử dụng khí hoặc nhiên liệu có điểm chớp cháy thấp.”</w:t>
      </w:r>
    </w:p>
    <w:p>
      <w:pPr>
        <w:pStyle w:val="Indented"/>
      </w:pPr>
      <w:r>
        <w:rPr>
          <w:b w:val="0"/>
        </w:rPr>
        <w:t>“2.3.2     Nhiên liệu, thiết bị và bố trí của các hệ thống sử dụng khí hoặc nhiên liệu có điểm chớp cháy thấp có thể: ”</w:t>
      </w:r>
    </w:p>
    <w:p>
      <w:r>
        <w:rPr>
          <w:b/>
        </w:rPr>
        <w:t>4     CÁC YÊU CẦU CHUNG / 4.2     Đánh giá rủi ro</w:t>
      </w:r>
    </w:p>
    <w:p>
      <w:r>
        <w:rPr>
          <w:b w:val="0"/>
        </w:rPr>
        <w:t>6     Thay thế khoản 4.2.1 bằng nội dung sau: “4.2.1     Phải tiến hành đánh giá rủi ro nhằm bảo đảm xử lý các rủi ro phát sinh từ việc sử dụng khí hoặc nhiên liệu có điểm chớp cháy thấp đối với người trên tàu, môi trường, độ bền kết cấu hoặc tính toàn vẹn của tàu. Phải xem xét các nguy cơ liên quan đến bố trí không gian, vận hành và bảo dưỡng sau mọi sự cố có thể dự đoán hợp lý.”</w:t>
      </w:r>
    </w:p>
    <w:p>
      <w:pPr>
        <w:pStyle w:val="Centered"/>
      </w:pPr>
      <w:r>
        <w:rPr>
          <w:b/>
        </w:rPr>
        <w:t>PHẦN D</w:t>
      </w:r>
    </w:p>
    <w:p>
      <w:r>
        <w:rPr>
          <w:b w:val="0"/>
        </w:rPr>
        <w:t>7     Thay thế khoản 19.2 bằng nội dung sau: “19.2     Yêu cầu chức năng. Công ty phải bảo đảm thuyền viên trên tàu sử dụng khí hoặc nhiên liệu có điểm chớp cháy thấp đã hoàn thành khóa đào tạo để đạt năng lực phù hợp với chức danh đảm nhiệm cùng các nhiệm vụ và trách nhiệm được giao, có xét đến các quy định của Công ước và Bộ luật STCW, đã được sửa đổi.”</w:t>
      </w:r>
    </w:p>
    <w:p>
      <w:r>
        <w:br w:type="page"/>
      </w:r>
    </w:p>
    <w:p>
      <w:pPr>
        <w:pStyle w:val="Centered"/>
      </w:pPr>
      <w:r>
        <w:rPr>
          <w:b/>
        </w:rPr>
        <w:t>PHỤ LỤC 4</w:t>
      </w:r>
    </w:p>
    <w:p>
      <w:pPr>
        <w:pStyle w:val="Centered"/>
      </w:pPr>
      <w:r>
        <w:rPr>
          <w:b/>
        </w:rPr>
        <w:t>DỰ THẢO SỬA ĐỔI QUY ĐỊNH KỸ THUẬT VỀ PHƯƠNG TIỆN</w:t>
      </w:r>
    </w:p>
    <w:p>
      <w:pPr>
        <w:pStyle w:val="Centered"/>
      </w:pPr>
      <w:r>
        <w:rPr>
          <w:b/>
        </w:rPr>
        <w:t>TIẾP CẬN PHỤC VỤ KIỂM TRA</w:t>
      </w:r>
    </w:p>
    <w:p>
      <w:pPr>
        <w:pStyle w:val="Centered"/>
      </w:pPr>
      <w:r>
        <w:rPr>
          <w:b/>
        </w:rPr>
        <w:t>(NGHỊ QUYẾT MSC.133(76), ĐÃ ĐƯỢC SỬA ĐỔI)</w:t>
      </w:r>
    </w:p>
    <w:p>
      <w:r>
        <w:rPr>
          <w:b w:val="0"/>
        </w:rPr>
        <w:t>1     Thay thế nội dung hiện hành của Quy định kỹ thuật về phương tiện tiếp cận phục vụ kiểm tra bằng nội dung sau:</w:t>
      </w:r>
    </w:p>
    <w:p>
      <w:pPr>
        <w:pStyle w:val="Indented"/>
      </w:pPr>
      <w:r>
        <w:rPr>
          <w:b w:val="0"/>
        </w:rPr>
        <w:t>“1     Lời nói đầu</w:t>
        <w:br/>
        <w:t>…</w:t>
        <w:br/>
        <w:t>2     Định nghĩa</w:t>
        <w:br/>
        <w:t>Trong Quy định kỹ thuật này, ngoài các định nghĩa tại Công ước SOLAS 1974, đã được sửa đổi, và Bộ luật quốc tế về chương trình kiểm tra nâng cao trong quá trình kiểm tra tàu chở hàng rời và tàu chở dầu, 2011 (Bộ luật ESP 2011), được Đại hội đồng Tổ chức thông qua bằng Nghị quyết A.1049(27) và có thể được Tổ chức sửa đổi, áp dụng các định nghĩa sau:</w:t>
        <w:br/>
        <w:t>…</w:t>
        <w:br/>
        <w:t>Bảng 2 - Phương tiện tiếp cận đối với tàu chở hàng rời</w:t>
        <w:br/>
        <w:t>…</w:t>
      </w:r>
    </w:p>
    <w:p>
      <w:pPr>
        <w:pStyle w:val="Indented"/>
      </w:pPr>
      <w:r>
        <w:rPr>
          <w:b w:val="0"/>
        </w:rPr>
        <w:t>1.8     Theo các quy định tại khoản 5.3, Phần A, Phụ đính A của Bộ luật ESP 2011 (đã được sửa đổi), có thể sử dụng phương tiện tiếp cận di động hoặc có thể di chuyển để tiếp cận các sườn hầm hàng đến mã liên kết phía trên, thay cho phương tiện tiếp cận cố định theo yêu cầu tại khoản 1.6. Những phương tiện tiếp cận này phải được trang bị trên tàu và luôn sẵn sàng để sử dụng.”</w:t>
      </w:r>
    </w:p>
    <w:p>
      <w:pPr>
        <w:pStyle w:val="Centered"/>
      </w:pPr>
      <w:r>
        <w:rPr>
          <w:b w:val="0"/>
        </w:rPr>
        <w:t>___________</w:t>
      </w:r>
    </w:p>
    <w:sectPr w:rsidR="00FC693F" w:rsidRPr="0006063C" w:rsidSect="00034616">
      <w:pgSz w:w="11909" w:h="16834"/>
      <w:pgMar w:top="1051" w:right="1123" w:bottom="936"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0" w:lineRule="auto"/>
    </w:pPr>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entered">
    <w:name w:val="Centered"/>
    <w:basedOn w:val="Normal"/>
    <w:pPr>
      <w:jc w:val="center"/>
    </w:pPr>
  </w:style>
  <w:style w:type="paragraph" w:customStyle="1" w:styleId="Indented">
    <w:name w:val="Indented"/>
    <w:basedOn w:val="Normal"/>
    <w:pPr>
      <w:ind w:left="461"/>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